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BB24C8">
        <w:rPr>
          <w:b/>
          <w:color w:val="FF0000"/>
          <w:sz w:val="28"/>
          <w:szCs w:val="28"/>
        </w:rPr>
        <w:t>3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B55961">
        <w:rPr>
          <w:color w:val="FF0000"/>
          <w:sz w:val="28"/>
          <w:szCs w:val="28"/>
        </w:rPr>
        <w:t>02.02.2021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BB24C8">
        <w:rPr>
          <w:bCs/>
          <w:color w:val="FF0000"/>
          <w:sz w:val="28"/>
          <w:szCs w:val="28"/>
        </w:rPr>
        <w:t>16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BB24C8">
        <w:rPr>
          <w:bCs/>
          <w:color w:val="FF0000"/>
          <w:sz w:val="28"/>
          <w:szCs w:val="28"/>
        </w:rPr>
        <w:t>парк около МБДОУ «АСОШ №4»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BB24C8">
        <w:rPr>
          <w:bCs/>
          <w:color w:val="FF0000"/>
          <w:sz w:val="28"/>
          <w:szCs w:val="28"/>
        </w:rPr>
        <w:t>199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24C8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D403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2021-02-08T12:35:00Z</dcterms:modified>
</cp:coreProperties>
</file>